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75" w:rsidRDefault="007D13F2" w:rsidP="00E90D75">
      <w:pPr>
        <w:jc w:val="center"/>
        <w:rPr>
          <w:b/>
        </w:rPr>
      </w:pPr>
      <w:r>
        <w:rPr>
          <w:b/>
        </w:rPr>
        <w:t>СОВЕТ ДЕПУТАТОВ ГОРОДА РЕУТОВ</w:t>
      </w:r>
    </w:p>
    <w:p w:rsidR="00E90D75" w:rsidRDefault="00E90D75" w:rsidP="00E90D75">
      <w:pPr>
        <w:jc w:val="center"/>
        <w:rPr>
          <w:b/>
        </w:rPr>
      </w:pPr>
    </w:p>
    <w:p w:rsidR="00E90D75" w:rsidRDefault="007D13F2" w:rsidP="00E90D75">
      <w:pPr>
        <w:jc w:val="center"/>
        <w:rPr>
          <w:b/>
        </w:rPr>
      </w:pPr>
      <w:r>
        <w:rPr>
          <w:b/>
        </w:rPr>
        <w:t>РЕШЕНИЕ</w:t>
      </w:r>
    </w:p>
    <w:p w:rsidR="00E90D75" w:rsidRPr="007D13F2" w:rsidRDefault="00E90D75" w:rsidP="00E90D75">
      <w:pPr>
        <w:jc w:val="center"/>
      </w:pPr>
    </w:p>
    <w:p w:rsidR="00E90D75" w:rsidRPr="007D13F2" w:rsidRDefault="007D13F2" w:rsidP="00E90D75">
      <w:pPr>
        <w:jc w:val="center"/>
      </w:pPr>
      <w:r w:rsidRPr="007D13F2">
        <w:t>от 13.02.2019 № 582/117</w:t>
      </w:r>
    </w:p>
    <w:p w:rsidR="00E90D75" w:rsidRPr="007D13F2" w:rsidRDefault="00E90D75" w:rsidP="00E90D75">
      <w:pPr>
        <w:jc w:val="center"/>
      </w:pPr>
    </w:p>
    <w:p w:rsidR="00E90D75" w:rsidRDefault="00E90D75" w:rsidP="00E90D75">
      <w:pPr>
        <w:rPr>
          <w:b/>
        </w:rPr>
      </w:pPr>
    </w:p>
    <w:p w:rsidR="00E90D75" w:rsidRDefault="00E90D75" w:rsidP="00E90D75">
      <w:pPr>
        <w:jc w:val="center"/>
      </w:pPr>
      <w:bookmarkStart w:id="0" w:name="_GoBack"/>
      <w:r>
        <w:t>Об Отчёте о работе Контрольно-счётной палаты города Реутов за 2018 год</w:t>
      </w:r>
      <w:bookmarkEnd w:id="0"/>
      <w:r>
        <w:t xml:space="preserve">  </w:t>
      </w:r>
    </w:p>
    <w:p w:rsidR="00E90D75" w:rsidRDefault="00E90D75" w:rsidP="00E90D75">
      <w:pPr>
        <w:jc w:val="center"/>
      </w:pPr>
    </w:p>
    <w:p w:rsidR="00E90D75" w:rsidRDefault="00E90D75" w:rsidP="00E90D75">
      <w:pPr>
        <w:jc w:val="center"/>
      </w:pPr>
    </w:p>
    <w:p w:rsidR="00E90D75" w:rsidRDefault="00E90D75" w:rsidP="00E90D75">
      <w:pPr>
        <w:ind w:firstLine="708"/>
        <w:jc w:val="both"/>
      </w:pPr>
      <w:r>
        <w:t xml:space="preserve">Совет депутатов города Реутов решил: </w:t>
      </w:r>
    </w:p>
    <w:p w:rsidR="00E90D75" w:rsidRDefault="00E90D75" w:rsidP="00E90D75">
      <w:pPr>
        <w:jc w:val="center"/>
      </w:pPr>
      <w:r>
        <w:t xml:space="preserve"> </w:t>
      </w:r>
    </w:p>
    <w:p w:rsidR="00E90D75" w:rsidRDefault="00E90D75" w:rsidP="00E90D75">
      <w:pPr>
        <w:ind w:firstLine="708"/>
        <w:jc w:val="both"/>
      </w:pPr>
      <w:r>
        <w:t>1. Принять к сведению Отчёт о работе Контрольно-счётной палаты города Реутов за 2018 год (прилагается).</w:t>
      </w:r>
    </w:p>
    <w:p w:rsidR="00E90D75" w:rsidRDefault="00E90D75" w:rsidP="00E90D75">
      <w:pPr>
        <w:ind w:firstLine="708"/>
        <w:jc w:val="both"/>
      </w:pPr>
    </w:p>
    <w:p w:rsidR="00E90D75" w:rsidRDefault="00E90D75" w:rsidP="00E90D75">
      <w:pPr>
        <w:ind w:firstLine="708"/>
        <w:jc w:val="both"/>
      </w:pPr>
      <w:r>
        <w:t>2. Опубликовать настоящее Решение и Отчёт о работе Контрольно-счётной палаты города Реутов за 2018 год в газете «</w:t>
      </w:r>
      <w:proofErr w:type="spellStart"/>
      <w:r>
        <w:t>Реут</w:t>
      </w:r>
      <w:proofErr w:type="spellEnd"/>
      <w:r>
        <w:t xml:space="preserve">» и на городском сайте. </w:t>
      </w: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  <w:r>
        <w:t xml:space="preserve">Председатель </w:t>
      </w:r>
    </w:p>
    <w:p w:rsidR="00E90D75" w:rsidRDefault="00E90D75" w:rsidP="00E90D75">
      <w:pPr>
        <w:jc w:val="both"/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С.М. Епифанов</w:t>
      </w:r>
    </w:p>
    <w:p w:rsidR="00E90D75" w:rsidRDefault="00E90D75" w:rsidP="00E90D75">
      <w:pPr>
        <w:jc w:val="both"/>
      </w:pPr>
    </w:p>
    <w:p w:rsidR="00E90D75" w:rsidRDefault="00E90D75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FD47DD" w:rsidRDefault="00FD47DD" w:rsidP="00E90D75">
      <w:pPr>
        <w:jc w:val="both"/>
      </w:pPr>
    </w:p>
    <w:p w:rsidR="008339A0" w:rsidRDefault="008339A0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8339A0" w:rsidRDefault="008339A0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FB5241" w:rsidRDefault="00FB5241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 к сведению</w:t>
      </w:r>
    </w:p>
    <w:p w:rsidR="00FB5241" w:rsidRDefault="00FB5241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B5241" w:rsidRDefault="00FB5241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Реутов</w:t>
      </w:r>
    </w:p>
    <w:p w:rsidR="00FB5241" w:rsidRDefault="00FB5241" w:rsidP="00FB5241">
      <w:pPr>
        <w:pStyle w:val="a3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13.02.2019 № 582/117</w:t>
      </w:r>
    </w:p>
    <w:p w:rsidR="00FB5241" w:rsidRDefault="00FB5241" w:rsidP="00FB5241">
      <w:pPr>
        <w:ind w:right="-1" w:firstLine="708"/>
        <w:contextualSpacing/>
        <w:jc w:val="both"/>
      </w:pPr>
    </w:p>
    <w:p w:rsidR="00FB5241" w:rsidRDefault="00FB5241" w:rsidP="00FB5241">
      <w:pPr>
        <w:ind w:right="-1" w:firstLine="708"/>
        <w:contextualSpacing/>
        <w:jc w:val="center"/>
        <w:rPr>
          <w:b/>
        </w:rPr>
      </w:pPr>
      <w:r>
        <w:rPr>
          <w:b/>
        </w:rPr>
        <w:t>Отчёт о работе Контрольно-счётной палаты города Реутов за 2018 год</w:t>
      </w:r>
    </w:p>
    <w:p w:rsidR="00FB5241" w:rsidRDefault="00FB5241" w:rsidP="00FB5241">
      <w:pPr>
        <w:ind w:right="-1" w:firstLine="708"/>
        <w:contextualSpacing/>
        <w:jc w:val="both"/>
      </w:pPr>
    </w:p>
    <w:p w:rsidR="00FB5241" w:rsidRDefault="00FB5241" w:rsidP="00FB5241">
      <w:pPr>
        <w:ind w:right="-1" w:firstLine="708"/>
        <w:contextualSpacing/>
        <w:jc w:val="both"/>
      </w:pPr>
      <w:r>
        <w:t>Настоящий отчёт о работе Контрольно-счётной палаты городского округа Реутов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Положением о Контрольно-счётной палате городского округа Реутов.</w:t>
      </w:r>
    </w:p>
    <w:p w:rsidR="00FB5241" w:rsidRDefault="00FB5241" w:rsidP="00FB5241">
      <w:pPr>
        <w:ind w:right="-1" w:firstLine="708"/>
        <w:contextualSpacing/>
        <w:jc w:val="both"/>
      </w:pPr>
      <w:r>
        <w:t>В отчёте отражены результаты работы Контрольно-счётной палаты городского округа Реутов (далее – Контрольно-счётная палата) по выполнению возложенных задач, определённых законодательством.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и правовое регулирование деятельности.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 w:firstLine="708"/>
        <w:contextualSpacing/>
        <w:jc w:val="both"/>
      </w:pPr>
      <w:r>
        <w:t>В 2018 году Контрольно-счётная палата в своей деятельности руководствовалась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федеральными законами и иными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FB5241" w:rsidRDefault="00FB5241" w:rsidP="00FB5241">
      <w:pPr>
        <w:ind w:right="-1" w:firstLine="708"/>
        <w:contextualSpacing/>
        <w:jc w:val="both"/>
      </w:pPr>
      <w:r>
        <w:t>Являясь постоянно действующим органом внешнего муниципального финансового контроля, Контрольно-счётная палата в своей работе основывалась на принципах законности, объективности, эффективности, независимости и гласности.</w:t>
      </w:r>
    </w:p>
    <w:p w:rsidR="00FB5241" w:rsidRDefault="00FB5241" w:rsidP="00FB5241">
      <w:pPr>
        <w:ind w:right="-1" w:firstLine="708"/>
        <w:contextualSpacing/>
        <w:jc w:val="both"/>
      </w:pPr>
      <w:r>
        <w:t>Основными задачами Контрольно-счётной палаты в 2018 году являлись: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бюджета городского округа Реутов;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контроль, направленный на определение законности, результативности и экономности использования средств бюджета городского округа Реутов (аудит эффективности, аудит в сфере закупок);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соблюдением установленного порядка управления и распоряжения имуществом, находящимся в собственности городского округа Реутов;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экспертно-аналитической деятельности, в том числе экспертиза проектов нормативных правовых актов городского округа Реутов, анализ и мониторинг бюджетного процесса.</w:t>
      </w:r>
    </w:p>
    <w:p w:rsidR="00FB5241" w:rsidRDefault="00FB5241" w:rsidP="00FB5241">
      <w:pPr>
        <w:ind w:right="-1" w:firstLine="708"/>
        <w:contextualSpacing/>
        <w:jc w:val="both"/>
      </w:pPr>
      <w:r>
        <w:t xml:space="preserve">Реализация возложенных на Контрольно-счётную палату полномочий осуществлялась в ходе контрольной и экспертно-аналитической деятельности. </w:t>
      </w:r>
    </w:p>
    <w:p w:rsidR="00FB5241" w:rsidRDefault="00FB5241" w:rsidP="00FB5241">
      <w:pPr>
        <w:ind w:right="-1" w:firstLine="709"/>
        <w:contextualSpacing/>
        <w:jc w:val="both"/>
      </w:pPr>
      <w:r>
        <w:t>Контрольная, экспертно-аналитическая, информационная и другая деятельность в 2018 году осуществлялась в соответствии с Планом работы Контрольно-счётной палаты.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 контрольной деятельности.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 w:firstLine="709"/>
        <w:jc w:val="both"/>
      </w:pPr>
      <w:r>
        <w:t>В 2018 году проведено 5</w:t>
      </w:r>
      <w:r>
        <w:rPr>
          <w:b/>
        </w:rPr>
        <w:t xml:space="preserve"> </w:t>
      </w:r>
      <w:r>
        <w:t>контрольных мероприятий, на 6</w:t>
      </w:r>
      <w:r>
        <w:rPr>
          <w:b/>
        </w:rPr>
        <w:t xml:space="preserve"> </w:t>
      </w:r>
      <w:r>
        <w:t>объектах</w:t>
      </w:r>
      <w:r>
        <w:rPr>
          <w:b/>
        </w:rPr>
        <w:t xml:space="preserve">, </w:t>
      </w:r>
      <w:r>
        <w:t>в том числе, в местных органах самоуправления 2</w:t>
      </w:r>
      <w:r>
        <w:rPr>
          <w:b/>
        </w:rPr>
        <w:t xml:space="preserve"> </w:t>
      </w:r>
      <w:r>
        <w:t xml:space="preserve">(Администрация), в </w:t>
      </w:r>
      <w:r>
        <w:rPr>
          <w:b/>
        </w:rPr>
        <w:t xml:space="preserve">2 </w:t>
      </w:r>
      <w:r>
        <w:t>бюджетных (МБОУ «СОШ №1, №5,),</w:t>
      </w:r>
      <w:r>
        <w:rPr>
          <w:b/>
        </w:rPr>
        <w:t xml:space="preserve"> 1 </w:t>
      </w:r>
      <w:r>
        <w:t>автономном (МУ «МКДЦ») и</w:t>
      </w:r>
      <w:r>
        <w:rPr>
          <w:b/>
        </w:rPr>
        <w:t xml:space="preserve"> 1 </w:t>
      </w:r>
      <w:r>
        <w:t>казенном (Отдел по физической культуре и спорту),</w:t>
      </w:r>
      <w:r>
        <w:rPr>
          <w:b/>
        </w:rPr>
        <w:t xml:space="preserve"> </w:t>
      </w:r>
      <w:r>
        <w:t>из них: в сфере образования – 2</w:t>
      </w:r>
      <w:r>
        <w:rPr>
          <w:b/>
        </w:rPr>
        <w:t xml:space="preserve"> </w:t>
      </w:r>
      <w:r>
        <w:t>объекта, в сфере ЖКХ – 1 объект</w:t>
      </w:r>
      <w:r>
        <w:rPr>
          <w:b/>
        </w:rPr>
        <w:t xml:space="preserve">, </w:t>
      </w:r>
      <w:r>
        <w:t>в сфере физкультуры и спорта – 1 объект, в сфере культуры- 1 объект, в иных сферах – 1 объект.</w:t>
      </w:r>
    </w:p>
    <w:p w:rsidR="00FB5241" w:rsidRDefault="00FB5241" w:rsidP="00FB5241">
      <w:pPr>
        <w:ind w:right="-1" w:firstLine="708"/>
        <w:contextualSpacing/>
        <w:jc w:val="both"/>
      </w:pPr>
      <w:r>
        <w:t>По результатам контрольных и экспертно-аналитических мероприятий выявлено нарушений и недостатков на общую сумму 21 135,2 тыс. рублей, из которых: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ведения бухгалтерского учёта, составления и представления бухгалтерской (финансовой) отчётности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10 161,1 тыс. руб. (48%);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законодательства в сфере управления и распоряжения государственной (муниципальной) собственностью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1 819,1 тыс. руб. (8%);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при формировании и исполнении бюджетов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7 753,9 тыс. руб. (37%);</w:t>
      </w:r>
    </w:p>
    <w:p w:rsidR="00FB5241" w:rsidRDefault="00FB5241" w:rsidP="00FB5241">
      <w:pPr>
        <w:pStyle w:val="a4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нарушения (в том числе неэффективное использование бюджетных средств)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1 401,1 тыс. руб. (7%).</w:t>
      </w:r>
    </w:p>
    <w:p w:rsidR="00FB5241" w:rsidRDefault="00FB5241" w:rsidP="00FB5241">
      <w:pPr>
        <w:ind w:right="-1" w:firstLine="709"/>
        <w:contextualSpacing/>
        <w:jc w:val="both"/>
      </w:pPr>
      <w:r>
        <w:t>Структура выявленных нарушений в 2018 году представлена на следующей диаграмме:</w:t>
      </w:r>
    </w:p>
    <w:p w:rsidR="00FB5241" w:rsidRDefault="00FB5241" w:rsidP="00FB5241">
      <w:pPr>
        <w:autoSpaceDE w:val="0"/>
        <w:autoSpaceDN w:val="0"/>
        <w:adjustRightInd w:val="0"/>
        <w:spacing w:line="276" w:lineRule="auto"/>
        <w:jc w:val="both"/>
      </w:pPr>
    </w:p>
    <w:p w:rsidR="00FB5241" w:rsidRDefault="00FB5241" w:rsidP="00FB5241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4857750" cy="37242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 w:firstLine="709"/>
        <w:contextualSpacing/>
        <w:jc w:val="both"/>
      </w:pPr>
      <w:r>
        <w:rPr>
          <w:b/>
        </w:rPr>
        <w:t xml:space="preserve">Нарушения ведения бухгалтерского учёта, составления и представления бухгалтерской (финансовой) отчётности </w:t>
      </w:r>
      <w:r>
        <w:t>установлены на следующих объектах:</w:t>
      </w:r>
    </w:p>
    <w:p w:rsidR="00FB5241" w:rsidRDefault="00FB5241" w:rsidP="00FB5241">
      <w:pPr>
        <w:ind w:right="-1" w:firstLine="709"/>
        <w:contextualSpacing/>
        <w:jc w:val="both"/>
      </w:pPr>
      <w:r>
        <w:t>МУ «МКДЦ» (11 случаев на сумму 518,1 тыс. рублей);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Администрация </w:t>
      </w:r>
      <w:proofErr w:type="spellStart"/>
      <w:r>
        <w:t>г.о</w:t>
      </w:r>
      <w:proofErr w:type="spellEnd"/>
      <w:r>
        <w:t>. Реутов (162 случая на сумму 7 743,7 тыс. рублей);</w:t>
      </w:r>
    </w:p>
    <w:p w:rsidR="00FB5241" w:rsidRDefault="00FB5241" w:rsidP="00FB5241">
      <w:pPr>
        <w:ind w:right="-1" w:firstLine="709"/>
        <w:contextualSpacing/>
        <w:jc w:val="both"/>
      </w:pPr>
      <w:r>
        <w:t>Отдел по физической культуре и спорту (16 случаев на сумму 1 899,3 тыс. рублей);</w:t>
      </w:r>
    </w:p>
    <w:p w:rsidR="00FB5241" w:rsidRDefault="00FB5241" w:rsidP="00FB5241">
      <w:pPr>
        <w:ind w:right="-1" w:firstLine="708"/>
        <w:contextualSpacing/>
        <w:jc w:val="both"/>
      </w:pPr>
      <w:r>
        <w:t xml:space="preserve">Наиболее характерное нарушение ведения бухгалтерского </w:t>
      </w:r>
      <w:proofErr w:type="gramStart"/>
      <w:r>
        <w:t>учёта,  выразилось</w:t>
      </w:r>
      <w:proofErr w:type="gramEnd"/>
      <w:r>
        <w:t xml:space="preserve"> в невыполнении требований, предъявляемых к оформлению фактов хозяйственной жизни экономического субъекта первичными учётными документами (189 случаев на сумму 10 161,1 тыс. рублей, или 48%). </w:t>
      </w:r>
    </w:p>
    <w:p w:rsidR="00FB5241" w:rsidRDefault="00FB5241" w:rsidP="00FB5241">
      <w:pPr>
        <w:ind w:right="-1" w:firstLine="708"/>
        <w:contextualSpacing/>
        <w:jc w:val="both"/>
      </w:pPr>
      <w:r>
        <w:t xml:space="preserve">В отношении 2 должностных лиц и одной организации составлено 5 протоколов об административном правонарушении, ответственность за которое установлена статьей 15.11.1 Кодекса Российской Федерации об административных правонарушениях (Грубое нарушение требований к бухгалтерскому учету, в </w:t>
      </w:r>
      <w:proofErr w:type="spellStart"/>
      <w:r>
        <w:t>т.ч</w:t>
      </w:r>
      <w:proofErr w:type="spellEnd"/>
      <w:r>
        <w:t xml:space="preserve">. к бухгалтерской (финансовой) отчетности), а также статьей </w:t>
      </w:r>
      <w:proofErr w:type="gramStart"/>
      <w:r>
        <w:t>15.1  (</w:t>
      </w:r>
      <w:proofErr w:type="gramEnd"/>
      <w:r>
        <w:t xml:space="preserve">Нарушение порядка работы с денежной наличностью и порядка ведения кассовых операций). Материалы дел направлены в мировой суд Реутовского судебного района. По результатам рассмотрения материалов дел, принято решение о привлечении к административной ответственности в виде штрафа. Также 1 должностное лицо привлечено к дисциплинарной ответственности (объявлено замечание). 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 w:firstLine="708"/>
        <w:contextualSpacing/>
        <w:jc w:val="both"/>
        <w:rPr>
          <w:b/>
        </w:rPr>
      </w:pPr>
      <w:r>
        <w:rPr>
          <w:b/>
        </w:rPr>
        <w:t xml:space="preserve">Нарушения в сфере управления и распоряжения муниципальной собственностью </w:t>
      </w:r>
      <w:r>
        <w:t xml:space="preserve">установлены в МУ «МКДЦ» (6 случаев на сумму 1 769,0 тыс. рублей), Администрация </w:t>
      </w:r>
      <w:proofErr w:type="spellStart"/>
      <w:r>
        <w:t>г.о</w:t>
      </w:r>
      <w:proofErr w:type="spellEnd"/>
      <w:r>
        <w:t>. Реутов (3 случая на сумму 50,1 тыс. рублей).</w:t>
      </w:r>
    </w:p>
    <w:p w:rsidR="00FB5241" w:rsidRDefault="00FB5241" w:rsidP="00FB5241">
      <w:pPr>
        <w:ind w:right="-1" w:firstLine="708"/>
        <w:contextualSpacing/>
        <w:jc w:val="both"/>
      </w:pPr>
      <w:r>
        <w:t>Наиболее характерные нарушения в сфере управления и распоряжения муниципальной собственностью выразились в следующем: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нарушение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 (6 случаев);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несоблюдение правообладателем порядка предоставления сведений для внесения (исключения) в реестр муниципального имущества (3 случая);</w:t>
      </w:r>
    </w:p>
    <w:p w:rsidR="00FB5241" w:rsidRDefault="00FB5241" w:rsidP="00FB5241">
      <w:pPr>
        <w:ind w:right="-1" w:firstLine="708"/>
        <w:contextualSpacing/>
        <w:jc w:val="both"/>
      </w:pPr>
      <w:r>
        <w:t xml:space="preserve">Все нарушения порядка учёта и ведения реестра муниципального имущества устранены в процессе проверок или в указанные в представлениях сроки. </w:t>
      </w:r>
    </w:p>
    <w:p w:rsidR="00FB5241" w:rsidRDefault="00FB5241" w:rsidP="00FB5241">
      <w:pPr>
        <w:ind w:right="-1" w:firstLine="709"/>
        <w:contextualSpacing/>
        <w:jc w:val="both"/>
      </w:pPr>
      <w:r>
        <w:rPr>
          <w:b/>
        </w:rPr>
        <w:t>Нарушения при осуществлении муниципальных закупок</w:t>
      </w:r>
      <w:r>
        <w:t xml:space="preserve"> в процессе проведения аудита в сфере закупок установлены на следующих объектах: 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Администрация </w:t>
      </w:r>
      <w:proofErr w:type="spellStart"/>
      <w:r>
        <w:t>г.о</w:t>
      </w:r>
      <w:proofErr w:type="spellEnd"/>
      <w:r>
        <w:t>. Реутов (12 случаев);</w:t>
      </w:r>
    </w:p>
    <w:p w:rsidR="00FB5241" w:rsidRDefault="00FB5241" w:rsidP="00FB5241">
      <w:pPr>
        <w:ind w:right="-1" w:firstLine="708"/>
        <w:contextualSpacing/>
        <w:jc w:val="both"/>
      </w:pPr>
      <w:r>
        <w:t>Наиболее характерным нарушением федерального законодательства в сфере закупок товаров, работ, услуг для обеспечения государственных и муниципальных нужд, выявленными в ходе аудита в сфере закупок, являлось - отсутствие (несвоевременное размещение) в ЕИС отчёта о результатах исполнения контракта (12 случаев).</w:t>
      </w:r>
    </w:p>
    <w:p w:rsidR="00FB5241" w:rsidRDefault="00FB5241" w:rsidP="00FB5241">
      <w:pPr>
        <w:ind w:right="-1" w:firstLine="709"/>
        <w:contextualSpacing/>
        <w:jc w:val="both"/>
      </w:pPr>
      <w:r>
        <w:t>Основной причиной отклонений, нарушений и недостатков, выявленных в ходе контрольных мероприятий в рамках аудита в сфере закупок, является низкая контрактная дисциплина.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Результаты выявленных нарушений в ходе аудита закупок направлены информационным письмом в Финансовое управление города Реутов, для принятия мер в соответствии с действующим законодательством. </w:t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right="-1" w:firstLine="709"/>
        <w:contextualSpacing/>
        <w:jc w:val="both"/>
        <w:rPr>
          <w:bCs/>
        </w:rPr>
      </w:pPr>
      <w:r>
        <w:rPr>
          <w:b/>
          <w:bCs/>
        </w:rPr>
        <w:t xml:space="preserve"> Нарушения при формировании и исполнении бюджетов </w:t>
      </w:r>
      <w:r>
        <w:rPr>
          <w:bCs/>
        </w:rPr>
        <w:t xml:space="preserve">установлены в ходе проверки Администрации </w:t>
      </w:r>
      <w:proofErr w:type="spellStart"/>
      <w:r>
        <w:rPr>
          <w:bCs/>
        </w:rPr>
        <w:t>г.о</w:t>
      </w:r>
      <w:proofErr w:type="spellEnd"/>
      <w:r>
        <w:rPr>
          <w:bCs/>
        </w:rPr>
        <w:t>. Реутов (Управление образования) (47 случаев), а именно не обеспечено соблюдение Порядка расходования субвенций, что повлекло излишнее расходование субвенции в части оплаты труда работников, чьи трудовые функции связаны с обеспечением  содержания зданий и сооружений на общую сумму 6 960,0 тыс. рублей и выявлены факты невыполнения показателей муниципальных заданий на 2017 год, (в СОШ №1 на сумму 476,1 тыс. рублей, в СОШ №5 на сумму 317,8 тыс. рублей) при этом возврат субсидий в суммах соответствующих объемам невыполненного муниципального задания, не осуществлялся. Излишне израсходованные средства бюджета возмещены.</w:t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firstLine="708"/>
        <w:jc w:val="both"/>
        <w:rPr>
          <w:highlight w:val="yellow"/>
        </w:rPr>
      </w:pPr>
      <w:r>
        <w:rPr>
          <w:b/>
        </w:rPr>
        <w:t xml:space="preserve">Неэффективное использование бюджетных средств (муниципального имущества) </w:t>
      </w:r>
      <w:r>
        <w:t>установлено в ходе проверок в МУ «</w:t>
      </w:r>
      <w:proofErr w:type="gramStart"/>
      <w:r>
        <w:t>МКДЦ»  (</w:t>
      </w:r>
      <w:proofErr w:type="gramEnd"/>
      <w:r>
        <w:t>1 случай на сумму 950,0 тыс. рублей), Отдел по физической культуре и спор</w:t>
      </w:r>
      <w:r w:rsidRPr="004D28E5">
        <w:t>ту</w:t>
      </w:r>
      <w:r w:rsidRPr="004D28E5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г.о.Реутов</w:t>
      </w:r>
      <w:proofErr w:type="spellEnd"/>
      <w:r>
        <w:rPr>
          <w:color w:val="000000"/>
        </w:rPr>
        <w:t xml:space="preserve"> </w:t>
      </w:r>
      <w:r>
        <w:t xml:space="preserve">(8 случаев на сумму 451,1 тыс. рублей). Неэффективное использование бюджетных средств (муниципального имущества) выразилось в следующем: </w:t>
      </w:r>
    </w:p>
    <w:p w:rsidR="00FB5241" w:rsidRDefault="00FB5241" w:rsidP="00FB5241">
      <w:pPr>
        <w:ind w:firstLine="708"/>
        <w:jc w:val="both"/>
      </w:pPr>
      <w:r>
        <w:t xml:space="preserve">МУ «МКДЦ» </w:t>
      </w:r>
      <w:r>
        <w:rPr>
          <w:color w:val="000000"/>
        </w:rPr>
        <w:t>осуществило расходование средств бюджета в общей сумме 950</w:t>
      </w:r>
      <w:r>
        <w:t>,0 тыс. рублей на закупку</w:t>
      </w:r>
      <w:r>
        <w:rPr>
          <w:color w:val="000000"/>
        </w:rPr>
        <w:t xml:space="preserve"> скульптуры «</w:t>
      </w:r>
      <w:proofErr w:type="spellStart"/>
      <w:r>
        <w:rPr>
          <w:color w:val="000000"/>
        </w:rPr>
        <w:t>Реутовские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огари</w:t>
      </w:r>
      <w:proofErr w:type="spellEnd"/>
      <w:r>
        <w:rPr>
          <w:color w:val="000000"/>
        </w:rPr>
        <w:t>»</w:t>
      </w:r>
      <w:r>
        <w:t xml:space="preserve"> в 2017 году, фактически данная скульптура не использовалась по назначению и находилась на складе поставщика без оформления документов об ответственном хранении.</w:t>
      </w:r>
    </w:p>
    <w:p w:rsidR="00FB5241" w:rsidRDefault="00FB5241" w:rsidP="00FB524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Отдел по физической культуре и спорту Администрации </w:t>
      </w:r>
      <w:proofErr w:type="spellStart"/>
      <w:r>
        <w:rPr>
          <w:color w:val="000000"/>
        </w:rPr>
        <w:t>г.о.Реутов</w:t>
      </w:r>
      <w:proofErr w:type="spellEnd"/>
      <w:r>
        <w:rPr>
          <w:color w:val="000000"/>
        </w:rPr>
        <w:t xml:space="preserve"> не воспользовался правом гарантийного ремонта при эксплуатации спортивного оборудования «</w:t>
      </w:r>
      <w:proofErr w:type="spellStart"/>
      <w:r>
        <w:rPr>
          <w:color w:val="000000"/>
        </w:rPr>
        <w:t>Воркаутов</w:t>
      </w:r>
      <w:proofErr w:type="spellEnd"/>
      <w:r>
        <w:rPr>
          <w:color w:val="000000"/>
        </w:rPr>
        <w:t xml:space="preserve">» на общую сумму 451,1 тыс. рублей. </w:t>
      </w:r>
    </w:p>
    <w:p w:rsidR="00FB5241" w:rsidRDefault="00FB5241" w:rsidP="00FB5241">
      <w:pPr>
        <w:ind w:firstLine="708"/>
        <w:jc w:val="both"/>
        <w:rPr>
          <w:color w:val="000000"/>
        </w:rPr>
      </w:pPr>
      <w:r>
        <w:rPr>
          <w:color w:val="000000"/>
        </w:rPr>
        <w:t>Вышеуказанные нарушения устранены.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 экспертно-аналитической деятельности</w:t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right="-1" w:firstLine="709"/>
        <w:contextualSpacing/>
        <w:jc w:val="both"/>
      </w:pPr>
      <w:r>
        <w:t>В 2018 году проведено 6 экспертно-аналитических мероприятий, в том числе: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внешняя проверка годовой бюджетной отчётности главных администраторов бюджетных средств (9 главных администраторов);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на годовой отчёт об исполнении бюджета городского округа Реутов за 2017 год;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исполнения бюджета городского округа Реутов за 1 квартал 2018 года;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исполнения бюджета городского округа Реутов за 1 полугодие 2018 года;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предоставления налоговых и иных льгот и преимуществ городским округом Реутов в 2017 году;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экспертиза проекта бюджета городского округа Реутов на 2019 год и на плановый период 2020 и 2021 годов;</w:t>
      </w:r>
    </w:p>
    <w:p w:rsidR="00FB5241" w:rsidRDefault="00FB5241" w:rsidP="00FB5241">
      <w:pPr>
        <w:ind w:right="-1" w:firstLine="708"/>
        <w:contextualSpacing/>
        <w:jc w:val="both"/>
      </w:pPr>
      <w:r>
        <w:t>При проведении экспертно-аналитического мероприятия «Внешняя проверка годовой бюджетной отчётности главных администраторов бюджетных средств за 2017 год», установлены случаи несоответствия представленных форм отчетности действующему законодательству.  С целью устранения выявленных нарушений по итогам проверки, были направлены информационные письма главным администраторам бюджетных средств, допустивших нарушения.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результатов контрольной и экспертно-аналитической деятельности.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 w:firstLine="708"/>
        <w:contextualSpacing/>
        <w:jc w:val="both"/>
      </w:pPr>
      <w:r>
        <w:t>В целях реализации полномочий по выявлению, предупреждению и устранению фактов неправомерного использования муниципальных финансовых ресурсов и муниципальной собственности по итогам контрольных и экспертно-аналитических мероприятий проверенным органам и организациям Контрольно-счётной палатой направлено 6 представлений.</w:t>
      </w:r>
    </w:p>
    <w:p w:rsidR="00FB5241" w:rsidRDefault="00FB5241" w:rsidP="00FB5241">
      <w:pPr>
        <w:ind w:right="-1" w:firstLine="709"/>
        <w:contextualSpacing/>
        <w:jc w:val="both"/>
      </w:pPr>
      <w:r>
        <w:t>В представлениях даны 19 предложений, 19 из которых выполнено (100%) в 2018 году, а также (15 оставшихся из 2017 исполнены в январе 2018).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В отчётном периоде Контрольно-счётной палатой подготовлено и направлено в Совет депутатов </w:t>
      </w:r>
      <w:proofErr w:type="spellStart"/>
      <w:r>
        <w:t>г.о</w:t>
      </w:r>
      <w:proofErr w:type="spellEnd"/>
      <w:r>
        <w:t xml:space="preserve">. Реутов, Главе </w:t>
      </w:r>
      <w:proofErr w:type="spellStart"/>
      <w:r>
        <w:t>г.о</w:t>
      </w:r>
      <w:proofErr w:type="spellEnd"/>
      <w:r>
        <w:t xml:space="preserve">. Реутов, Прокуратура </w:t>
      </w:r>
      <w:proofErr w:type="spellStart"/>
      <w:r>
        <w:t>г.о</w:t>
      </w:r>
      <w:proofErr w:type="spellEnd"/>
      <w:r>
        <w:t>. Реутов, в органы государственной власти Московской области, в орган контроля в сфере закупок, всего 27 информационных письма.</w:t>
      </w:r>
    </w:p>
    <w:p w:rsidR="00FB5241" w:rsidRDefault="00FB5241" w:rsidP="00FB5241">
      <w:pPr>
        <w:ind w:right="-1" w:firstLine="709"/>
        <w:contextualSpacing/>
        <w:jc w:val="both"/>
      </w:pPr>
      <w:r>
        <w:t>Материалы Контрольно-счётной палаты послужили основанием для привлечения к административной ответственности 2 должностных лиц и 1 юридического лица (по 2 нарушениям), к дисциплинарной ответственности – 1 должностного лица.</w:t>
      </w:r>
    </w:p>
    <w:p w:rsidR="00FB5241" w:rsidRDefault="00FB5241" w:rsidP="00FB5241">
      <w:pPr>
        <w:ind w:right="-1" w:firstLine="709"/>
        <w:contextualSpacing/>
        <w:jc w:val="both"/>
        <w:rPr>
          <w:b/>
        </w:rPr>
      </w:pPr>
      <w:r>
        <w:rPr>
          <w:b/>
        </w:rPr>
        <w:t xml:space="preserve">По результатам проведённых мероприятий в 2018 году устранено нарушений и недостатков на сумму 21 081,2 тыс. рублей, также выполнены предложения по устранению нарушений по контрольным мероприятиям прошлых лет. </w:t>
      </w:r>
    </w:p>
    <w:p w:rsidR="00FB5241" w:rsidRDefault="00FB5241" w:rsidP="00FB5241">
      <w:pPr>
        <w:ind w:right="-1" w:firstLine="709"/>
        <w:contextualSpacing/>
        <w:jc w:val="both"/>
      </w:pPr>
      <w:r>
        <w:t>Устранение нарушений в 2018 году осуществлялось проверяемыми объектами следующими способами: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возмещено в бюджет денежными средствами на общую сумму 7 753,9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возмещено путём выполнения работ и (или) оказания услуг – 1 401,1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внесены изменения (исправления) в бюджетный (бухгалтерский) учёт, реестр муниципальной собственности города Реутов, приняты к учёту объекты основных средств – 11 926,2 тыс. рублей;</w:t>
      </w:r>
    </w:p>
    <w:p w:rsidR="00FB5241" w:rsidRDefault="00FB5241" w:rsidP="00FB5241">
      <w:pPr>
        <w:ind w:right="-1"/>
        <w:contextualSpacing/>
        <w:rPr>
          <w:b/>
          <w:color w:val="FF0000"/>
        </w:rPr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с обращениями граждан и юридических лиц, </w:t>
      </w:r>
    </w:p>
    <w:p w:rsidR="00FB5241" w:rsidRDefault="00FB5241" w:rsidP="00FB5241">
      <w:pPr>
        <w:ind w:right="-1"/>
        <w:contextualSpacing/>
        <w:jc w:val="center"/>
        <w:rPr>
          <w:b/>
        </w:rPr>
      </w:pPr>
      <w:r>
        <w:rPr>
          <w:b/>
        </w:rPr>
        <w:t>взаимодействие с органами государственной власти Московской области.</w:t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right="-1" w:firstLine="709"/>
        <w:contextualSpacing/>
        <w:jc w:val="both"/>
      </w:pPr>
      <w:r>
        <w:t>Контрольно-счётной палатой в 2018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граждан и юридических лиц.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В 2018 году в Контрольно-счётную палату поступило 1 обращение от граждан. По результатам проверки факты, изложенные </w:t>
      </w:r>
      <w:proofErr w:type="gramStart"/>
      <w:r>
        <w:t>в обращении</w:t>
      </w:r>
      <w:proofErr w:type="gramEnd"/>
      <w:r>
        <w:t xml:space="preserve"> не подтвердились, информация направлена заявителю и в Контрольно-счетную палату Московской области.</w:t>
      </w:r>
    </w:p>
    <w:p w:rsidR="00FB5241" w:rsidRDefault="00FB5241" w:rsidP="00FB5241">
      <w:pPr>
        <w:ind w:right="-1" w:firstLine="709"/>
        <w:contextualSpacing/>
        <w:jc w:val="both"/>
      </w:pPr>
      <w:r>
        <w:t>Контрольно-счётной палатой в 2018 году осуществлялось активное взаимодействие с Контрольно-счётной палатой Московской области, принято участие в 1 совместной проверке, а также посредством участия в семинарах и совещаниях Совета Контрольно-счётных органов при Контрольно-счётной палате Московской области. Председатель Контрольно-счётной палаты также является членом комиссии по этике Совета Контрольно-счётных органов при Контрольно-счётной палате Московской области. В основном, в 2018 году работа комиссии была направлена на анализ соблюдения Контрольно-счётными органами принципа гласности, в том числе информационное наполнение официальных w</w:t>
      </w:r>
      <w:r>
        <w:rPr>
          <w:lang w:val="en-US"/>
        </w:rPr>
        <w:t>e</w:t>
      </w:r>
      <w:r>
        <w:t xml:space="preserve">b-сайтов Контрольно-счётных органов. </w:t>
      </w: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ind w:right="-1"/>
        <w:contextualSpacing/>
        <w:jc w:val="both"/>
      </w:pPr>
    </w:p>
    <w:p w:rsidR="00FB5241" w:rsidRDefault="00FB5241" w:rsidP="00FB5241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деятельности</w:t>
      </w:r>
    </w:p>
    <w:p w:rsidR="00FB5241" w:rsidRDefault="00FB5241" w:rsidP="00FB5241">
      <w:pPr>
        <w:ind w:right="-1" w:firstLine="709"/>
        <w:contextualSpacing/>
        <w:jc w:val="both"/>
      </w:pPr>
    </w:p>
    <w:p w:rsidR="00FB5241" w:rsidRDefault="00FB5241" w:rsidP="00FB5241">
      <w:pPr>
        <w:ind w:right="-1" w:firstLine="709"/>
        <w:contextualSpacing/>
        <w:jc w:val="both"/>
      </w:pPr>
      <w:r>
        <w:t>Решением Совета депутатов города Реутов от 22 ноября 2017 года №99/2017-НА «О бюджете города Реутов на 2018 год и на плановый период 2019 и 2020 годов» (с изменениями и дополнениями), на 2018 год бюджетные ассигнования на содержание и обеспечение деятельности Контрольно-счётной палаты утверждены в размере 5 160,7 тыс. рублей, в том числе: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заработная плата – 3 310,8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страховые взносы – 1 053,3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выплаты на лечение и отдых – 452,8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закупка товаров, работ, услуг – 185,3 тыс. рублей;</w:t>
      </w:r>
    </w:p>
    <w:p w:rsidR="00FB5241" w:rsidRDefault="00FB5241" w:rsidP="00FB5241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пенсионное обеспечение – 158,5 тыс. рублей.</w:t>
      </w:r>
    </w:p>
    <w:p w:rsidR="00FB5241" w:rsidRDefault="00FB5241" w:rsidP="00FB5241">
      <w:pPr>
        <w:ind w:right="-1" w:firstLine="709"/>
        <w:contextualSpacing/>
        <w:jc w:val="both"/>
      </w:pPr>
      <w:r>
        <w:t>При этом в течение 2018 года в процессе оптимизации бюджетных расходов сокращены бюджетные ассигнования в сумме 52,6 тыс. рублей.</w:t>
      </w:r>
    </w:p>
    <w:p w:rsidR="00FB5241" w:rsidRDefault="00FB5241" w:rsidP="00FB5241">
      <w:pPr>
        <w:ind w:right="-1" w:firstLine="709"/>
        <w:contextualSpacing/>
        <w:jc w:val="both"/>
      </w:pPr>
      <w:r>
        <w:t xml:space="preserve">Исполнение по расходам составило 5 158,9 тыс. рублей (99,9%). </w:t>
      </w:r>
    </w:p>
    <w:p w:rsidR="00FB5241" w:rsidRDefault="00FB5241" w:rsidP="00FB5241">
      <w:pPr>
        <w:ind w:right="-1" w:firstLine="709"/>
        <w:contextualSpacing/>
        <w:jc w:val="both"/>
      </w:pPr>
      <w:r>
        <w:t>В 2018 году муниципальная служба в Контрольно-счётной палате осуществлялась в соответствии с законодательством о муниципальной службе.</w:t>
      </w:r>
    </w:p>
    <w:p w:rsidR="00FB5241" w:rsidRDefault="00FB5241" w:rsidP="00FB5241">
      <w:pPr>
        <w:ind w:right="-1" w:firstLine="709"/>
        <w:contextualSpacing/>
        <w:jc w:val="both"/>
      </w:pPr>
      <w:r>
        <w:t>По состоянию на 01.01.2019 штатная численность Контрольно-счётной палаты составила 4 единицы, из них замещены – 4 штатных единиц (укомплектованность – 100 %).</w:t>
      </w:r>
    </w:p>
    <w:p w:rsidR="00FB5241" w:rsidRDefault="00FB5241" w:rsidP="00FB5241">
      <w:pPr>
        <w:ind w:right="-1" w:firstLine="709"/>
        <w:contextualSpacing/>
        <w:jc w:val="both"/>
      </w:pPr>
      <w:r>
        <w:t>В 2018 году продолжал функционировать официальный сайт Контрольно-счётной палаты города Реутов www.ksp</w:t>
      </w:r>
      <w:proofErr w:type="spellStart"/>
      <w:r>
        <w:rPr>
          <w:lang w:val="en-US"/>
        </w:rPr>
        <w:t>reut</w:t>
      </w:r>
      <w:proofErr w:type="spellEnd"/>
      <w:r>
        <w:t>.</w:t>
      </w:r>
      <w:proofErr w:type="spellStart"/>
      <w:r>
        <w:rPr>
          <w:lang w:val="en-US"/>
        </w:rPr>
        <w:t>jimdo</w:t>
      </w:r>
      <w:proofErr w:type="spellEnd"/>
      <w:r>
        <w:t>.</w:t>
      </w:r>
      <w:r>
        <w:rPr>
          <w:lang w:val="en-US"/>
        </w:rPr>
        <w:t>com</w:t>
      </w:r>
      <w:r>
        <w:t>, на котором размещена информация о деятельности Контрольно-счётной палаты.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5898"/>
        <w:gridCol w:w="1238"/>
        <w:gridCol w:w="1162"/>
      </w:tblGrid>
      <w:tr w:rsidR="00FB5241" w:rsidTr="00FB5241">
        <w:trPr>
          <w:trHeight w:val="375"/>
        </w:trPr>
        <w:tc>
          <w:tcPr>
            <w:tcW w:w="564" w:type="pct"/>
            <w:noWrap/>
            <w:vAlign w:val="center"/>
            <w:hideMark/>
          </w:tcPr>
          <w:p w:rsidR="00FB5241" w:rsidRDefault="00FB5241"/>
        </w:tc>
        <w:tc>
          <w:tcPr>
            <w:tcW w:w="3153" w:type="pct"/>
            <w:noWrap/>
            <w:vAlign w:val="bottom"/>
          </w:tcPr>
          <w:p w:rsidR="00FB5241" w:rsidRDefault="00FB5241"/>
          <w:p w:rsidR="00FB5241" w:rsidRDefault="00FB5241"/>
          <w:p w:rsidR="00FB5241" w:rsidRDefault="00FB5241"/>
          <w:p w:rsidR="00FB5241" w:rsidRDefault="00FB5241"/>
          <w:p w:rsidR="00FB5241" w:rsidRDefault="00FB5241"/>
          <w:p w:rsidR="00FB5241" w:rsidRDefault="00FB5241"/>
          <w:p w:rsidR="00FB5241" w:rsidRDefault="00FB5241"/>
          <w:p w:rsidR="00FB5241" w:rsidRDefault="00FB5241"/>
          <w:p w:rsidR="00FB5241" w:rsidRDefault="00FB5241"/>
        </w:tc>
        <w:tc>
          <w:tcPr>
            <w:tcW w:w="1282" w:type="pct"/>
            <w:gridSpan w:val="2"/>
            <w:noWrap/>
            <w:vAlign w:val="bottom"/>
          </w:tcPr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</w:p>
          <w:p w:rsidR="00FB5241" w:rsidRDefault="00FB524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№1</w:t>
            </w:r>
          </w:p>
        </w:tc>
      </w:tr>
      <w:tr w:rsidR="00FB5241" w:rsidTr="00FB5241">
        <w:trPr>
          <w:trHeight w:val="375"/>
        </w:trPr>
        <w:tc>
          <w:tcPr>
            <w:tcW w:w="564" w:type="pct"/>
            <w:noWrap/>
            <w:vAlign w:val="center"/>
            <w:hideMark/>
          </w:tcPr>
          <w:p w:rsidR="00FB5241" w:rsidRDefault="00FB5241">
            <w:pPr>
              <w:rPr>
                <w:color w:val="000000"/>
              </w:rPr>
            </w:pPr>
          </w:p>
        </w:tc>
        <w:tc>
          <w:tcPr>
            <w:tcW w:w="3153" w:type="pct"/>
            <w:noWrap/>
            <w:vAlign w:val="bottom"/>
            <w:hideMark/>
          </w:tcPr>
          <w:p w:rsidR="00FB5241" w:rsidRDefault="00FB524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  <w:noWrap/>
            <w:vAlign w:val="bottom"/>
            <w:hideMark/>
          </w:tcPr>
          <w:p w:rsidR="00FB5241" w:rsidRDefault="00FB524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noWrap/>
            <w:vAlign w:val="bottom"/>
            <w:hideMark/>
          </w:tcPr>
          <w:p w:rsidR="00FB5241" w:rsidRDefault="00FB5241">
            <w:pPr>
              <w:rPr>
                <w:sz w:val="20"/>
                <w:szCs w:val="20"/>
              </w:rPr>
            </w:pPr>
          </w:p>
        </w:tc>
      </w:tr>
      <w:tr w:rsidR="00FB5241" w:rsidTr="00FB524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показатели деятельности Контрольно-счётной палаты города Реутов за 2018 год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показатели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FB5241" w:rsidTr="00FB524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b/>
                <w:bCs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проведенных контрольных мероприятиях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проведенных контрольных мероприятий (ед.), их них: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 использованием аудита в сфере закупок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1.2.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контрольных мероприятий, по результатам которых выявлены нарушения и недостатки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1.3.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проверенных объектов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1.4.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проверенных объектов, у которых по результатам контрольных мероприятий выявлены нарушения и недостатки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1.5.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Объем проверенных средств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291 947,64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>
            <w:pPr>
              <w:jc w:val="center"/>
            </w:pPr>
          </w:p>
          <w:p w:rsidR="00FB5241" w:rsidRDefault="00FB5241">
            <w:pPr>
              <w:jc w:val="center"/>
            </w:pPr>
            <w:r>
              <w:t>395 227,14</w:t>
            </w:r>
          </w:p>
          <w:p w:rsidR="00FB5241" w:rsidRDefault="00FB5241">
            <w:pPr>
              <w:jc w:val="center"/>
            </w:pP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проведенных экспертно-аналитических мероприятиях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2.1.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проведенных экспертно-аналитических мероприятий (ед.), в том числе: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подготовленных экспертных заключений на проекты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решения о бюджете города Реутов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подготовленных информационных материалов о ходе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исполнения бюджета города Реутов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2.1.3.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проведенных внешних проверок годового отчёта об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исполнении бюджета города Реутов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4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2.1.4.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проведенных проверок годовой отчётности главных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администраторов бюджетных средств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2.1.5.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иные экспертно-аналитические мероприятия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результатах контрольных и экспертно-аналитических мероприятий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Сумма выявленных нарушений и недостатков, всего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267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3.1.2.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45 704,9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21 135,2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Сумма выявленных нарушений и недостатков (тыс. рублей), в том числе: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/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>
            <w:pPr>
              <w:jc w:val="center"/>
            </w:pP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нарушения при формировании и исполнении бюджетов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/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>
            <w:pPr>
              <w:jc w:val="center"/>
              <w:rPr>
                <w:highlight w:val="yellow"/>
              </w:rPr>
            </w:pP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47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3.2.1.2.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7753,9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lastRenderedPageBreak/>
              <w:t>3.2.2.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/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>
            <w:pPr>
              <w:jc w:val="center"/>
              <w:rPr>
                <w:highlight w:val="yellow"/>
              </w:rPr>
            </w:pP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3.2.2.1.</w:t>
            </w:r>
          </w:p>
        </w:tc>
        <w:tc>
          <w:tcPr>
            <w:tcW w:w="3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120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189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3.2.2.2.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42 660,53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10 161,1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3.2.3.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нарушения законодательства в сфере управления и распоряжения государственной (муниципальной) собственностью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3.2.3.1.</w:t>
            </w:r>
          </w:p>
        </w:tc>
        <w:tc>
          <w:tcPr>
            <w:tcW w:w="3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125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3.2.3.2.</w:t>
            </w:r>
          </w:p>
        </w:tc>
        <w:tc>
          <w:tcPr>
            <w:tcW w:w="3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/>
          <w:p w:rsidR="00FB5241" w:rsidRDefault="00FB5241">
            <w:pPr>
              <w:jc w:val="center"/>
            </w:pPr>
            <w:r>
              <w:t>252,0</w:t>
            </w:r>
          </w:p>
          <w:p w:rsidR="00FB5241" w:rsidRDefault="00FB5241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41" w:rsidRDefault="00FB5241">
            <w:pPr>
              <w:rPr>
                <w:highlight w:val="yellow"/>
              </w:rPr>
            </w:pPr>
          </w:p>
          <w:p w:rsidR="00FB5241" w:rsidRDefault="00FB5241">
            <w:pPr>
              <w:jc w:val="center"/>
            </w:pPr>
            <w:r>
              <w:t>1 819,1</w:t>
            </w:r>
          </w:p>
          <w:p w:rsidR="00FB5241" w:rsidRDefault="00FB5241">
            <w:pPr>
              <w:jc w:val="center"/>
            </w:pP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3.2.4.1.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3.2.4.2.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1 327,87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3.2.5.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нарушения порядка ведения кассовых операций юридическими лицами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3.2.5.1.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3.2.5.2.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54,00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3.2.6.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неэффективное использование бюджетных средств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 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3.2.6.1.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3.2.6.2.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1 464,62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1 401,1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результатов контрольных и экспертно-аналитических мероприятий</w:t>
            </w:r>
          </w:p>
        </w:tc>
      </w:tr>
      <w:tr w:rsidR="00FB5241" w:rsidTr="00FB5241">
        <w:trPr>
          <w:trHeight w:val="34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подготовленных материалов контрольных и экспертно-аналитических мероприятий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Направлено предписаний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4.3.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Направлено представлений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6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Направлено информационных писем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27</w:t>
            </w:r>
          </w:p>
        </w:tc>
      </w:tr>
      <w:tr w:rsidR="00FB5241" w:rsidTr="00FB5241">
        <w:trPr>
          <w:trHeight w:val="94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4.5.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 xml:space="preserve">Количество муниципальных правовых актов органов местного самоуправления (ед.), в которые по результатам контрольных и экспертно-аналитических мероприятий предложено внести изменения или принять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4.6.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муниципальных правовых актов органов местного самоуправления (ед.), принятых по предложениям КСП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94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4.7.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принятых мер по привлечению должностных лиц к дисциплинарной или материальной ответственности по контрольным и экспертно-аналитическим мероприятиям (человек)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4.8.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Устранено нарушений и недостатков, всего (тыс. рублей), в том числе: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43 988,4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21 333,2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4.8.1.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по результатам проверок текущего года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43 988,4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21 081,2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4.8.2.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по результатам проверок предыдущих лет (тыс.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252,0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4.9.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Устранено нарушений и недостатков (тыс. рублей):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 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4.9.1.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внесены изменения (исправления) в бюджетный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(бухгалтерский) учёт, реестр муниципальной</w:t>
            </w:r>
            <w:r>
              <w:rPr>
                <w:i/>
                <w:iCs/>
              </w:rPr>
              <w:br/>
              <w:t xml:space="preserve">          собственности города Реутов, приняты к учёту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         объекты основных средств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lastRenderedPageBreak/>
              <w:t>42 660,53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11 926,2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4.9.2.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возмещено путем выполнения работ и (или) оказания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услуг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1 286,18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1 401,1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4.9.3.</w:t>
            </w:r>
          </w:p>
        </w:tc>
        <w:tc>
          <w:tcPr>
            <w:tcW w:w="3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дополнительные доходы и (или) сэкономленные   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средства объекта контроля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4.9.4.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возмещено денежными средствами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41,69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7 753,9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4.10.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Снято с контроля устранения нарушений по объективным причинам (невозможность устранения нарушения, применение иных мер, послуживших причиной устранения нарушения) (тыс. рублей)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54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4.11.</w:t>
            </w:r>
          </w:p>
        </w:tc>
        <w:tc>
          <w:tcPr>
            <w:tcW w:w="3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Остается на контроле устранения нарушений (тыс. рублей)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252,0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материалов контрольных мероприятий, переданных в правоохранительные органы (ед.), из них: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4.12.1.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В Прокуратуру Московской области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4.12.2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В Прокуратуру </w:t>
            </w:r>
            <w:proofErr w:type="spellStart"/>
            <w:r>
              <w:rPr>
                <w:i/>
                <w:iCs/>
              </w:rPr>
              <w:t>г.Реутов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4.13.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Возбуждено уголовных дел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4.14.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Направлено материалов в соответствующие надзорные органы для возбуждения дел об административных правонарушениях, (ед.) в том числе: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4.14.1.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МУ МВД Московской области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4.14.1.1.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составлено протоколов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4.14.1.2.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наложено штрафов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4.15.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Направлено протоколов в суд для возбуждения административного делопроизводства (ед.):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4.15.1.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составлено протоколов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4.15.2.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наложено штрафов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мерах, принятых по обращениям граждан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5.1.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поступивших обращений граждан, общественных организаций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5.2.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Количество направленных ответов заявителям (ед.), из них: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5.2.1.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количество переданных обращений на исполнение в</w:t>
            </w:r>
          </w:p>
          <w:p w:rsidR="00FB5241" w:rsidRDefault="00FB524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другие органы государственной власти в</w:t>
            </w:r>
            <w:r>
              <w:rPr>
                <w:i/>
                <w:iCs/>
              </w:rPr>
              <w:br/>
              <w:t xml:space="preserve">         соответствии с их полномочиями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FB5241" w:rsidRDefault="00FB5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Контрольно-счётной палаты города Реутов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6.1.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Финансовое обеспечение деятельности Контрольно-счётной палаты города Реутов на 2017 год,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4 633,9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5 160,7</w:t>
            </w:r>
          </w:p>
        </w:tc>
      </w:tr>
      <w:tr w:rsidR="00FB5241" w:rsidTr="00FB5241">
        <w:trPr>
          <w:trHeight w:val="63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6.2.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Фактическое расходование финансового обеспечения деятельности Контрольно-счётной палаты города Реутов на 2017 год (тыс. рублей)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4 633,9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5 158,9</w:t>
            </w:r>
          </w:p>
        </w:tc>
      </w:tr>
      <w:tr w:rsidR="00FB5241" w:rsidTr="00FB5241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5241" w:rsidRDefault="00FB5241">
            <w:pPr>
              <w:jc w:val="center"/>
            </w:pPr>
            <w:r>
              <w:t>6.3.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r>
              <w:t>Установленная штатная численность Контрольно-счётной палаты города Реутов (ед.)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41" w:rsidRDefault="00FB5241">
            <w:pPr>
              <w:jc w:val="center"/>
            </w:pPr>
            <w:r>
              <w:t>4</w:t>
            </w:r>
          </w:p>
        </w:tc>
      </w:tr>
    </w:tbl>
    <w:p w:rsidR="00E36549" w:rsidRDefault="008339A0" w:rsidP="00FB5241">
      <w:pPr>
        <w:pStyle w:val="a3"/>
      </w:pPr>
    </w:p>
    <w:sectPr w:rsidR="00E36549" w:rsidSect="00E90D75">
      <w:type w:val="continuous"/>
      <w:pgSz w:w="11906" w:h="16838" w:code="11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4CDD"/>
    <w:multiLevelType w:val="hybridMultilevel"/>
    <w:tmpl w:val="E62E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8F"/>
    <w:rsid w:val="00021F32"/>
    <w:rsid w:val="00044A6D"/>
    <w:rsid w:val="00461F80"/>
    <w:rsid w:val="00482013"/>
    <w:rsid w:val="004D28E5"/>
    <w:rsid w:val="007D13F2"/>
    <w:rsid w:val="008339A0"/>
    <w:rsid w:val="00906CFB"/>
    <w:rsid w:val="00AF242E"/>
    <w:rsid w:val="00B01042"/>
    <w:rsid w:val="00BA2DFA"/>
    <w:rsid w:val="00D24023"/>
    <w:rsid w:val="00E72312"/>
    <w:rsid w:val="00E90D75"/>
    <w:rsid w:val="00F8478F"/>
    <w:rsid w:val="00FB524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D3C16-2972-4EAC-B659-7F6CAC0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7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75"/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E90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D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482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Структура установленных нарушений</a:t>
            </a:r>
          </a:p>
        </c:rich>
      </c:tx>
      <c:layout>
        <c:manualLayout>
          <c:xMode val="edge"/>
          <c:yMode val="edge"/>
          <c:x val="0.18805942257217848"/>
          <c:y val="1.6647171072119923E-2"/>
        </c:manualLayout>
      </c:layout>
      <c:overlay val="0"/>
      <c:spPr>
        <a:noFill/>
        <a:ln w="19049">
          <a:noFill/>
        </a:ln>
      </c:spPr>
    </c:title>
    <c:autoTitleDeleted val="0"/>
    <c:view3D>
      <c:rotX val="30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0642586614783897E-2"/>
          <c:w val="1"/>
          <c:h val="0.919415610507969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1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3.0598050706607677E-3"/>
                  <c:y val="0.23844508273663276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666699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9620253164556967"/>
                  <c:y val="0.13649759578098342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993366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99CC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3481095377290076"/>
                  <c:y val="2.7801421362153744E-2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666699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33CCCC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750" b="1" i="0" u="none" strike="noStrike" baseline="0">
                      <a:solidFill>
                        <a:srgbClr val="FF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 w="190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0" b="1" i="0" u="none" strike="noStrike" baseline="0">
                    <a:solidFill>
                      <a:srgbClr val="666699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714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Неэффективное использование 
бюджетных средств                          - 1,4 млн. рублей</c:v>
                </c:pt>
                <c:pt idx="1">
                  <c:v>Нарушения в сфере управления 
муниципальной собственностью    - 1,8 млн. рублей</c:v>
                </c:pt>
                <c:pt idx="2">
                  <c:v>Нарушения при формировании и исполнении бюджетных средств                  - 7,7  млн. рублей </c:v>
                </c:pt>
                <c:pt idx="3">
                  <c:v>Нарушение ведения
бухгалтерского учета                        - 10,1 млн.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1.8</c:v>
                </c:pt>
                <c:pt idx="2">
                  <c:v>7.7</c:v>
                </c:pt>
                <c:pt idx="3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49">
          <a:noFill/>
        </a:ln>
      </c:spPr>
    </c:plotArea>
    <c:plotVisOnly val="1"/>
    <c:dispBlanksAs val="gap"/>
    <c:showDLblsOverMax val="0"/>
  </c:chart>
  <c:spPr>
    <a:solidFill>
      <a:schemeClr val="bg1"/>
    </a:solidFill>
    <a:ln w="714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5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308A-C705-4471-825D-BE8C150C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12</cp:revision>
  <cp:lastPrinted>2019-02-14T12:36:00Z</cp:lastPrinted>
  <dcterms:created xsi:type="dcterms:W3CDTF">2019-02-12T11:30:00Z</dcterms:created>
  <dcterms:modified xsi:type="dcterms:W3CDTF">2019-02-22T11:03:00Z</dcterms:modified>
</cp:coreProperties>
</file>